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outlineLvl w:val="1"/>
        <w:rPr>
          <w:rFonts w:ascii="Times New Roman" w:hAnsi="Times New Roman" w:eastAsia="Times New Roman" w:cs="Times New Roman"/>
          <w:sz w:val="53"/>
          <w:szCs w:val="53"/>
          <w:lang w:eastAsia="it-IT"/>
        </w:rPr>
      </w:pPr>
      <w:r>
        <w:rPr>
          <w:rFonts w:eastAsia="Times New Roman" w:cs="Times New Roman" w:ascii="Times New Roman" w:hAnsi="Times New Roman"/>
          <w:sz w:val="53"/>
          <w:szCs w:val="53"/>
          <w:lang w:eastAsia="it-IT"/>
        </w:rPr>
        <w:t>Il PNRR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Nel 2021 gli Stati Membri dell’Unione Europea hanno deciso di dare vita a un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Piano di Ripresa e Resilienza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con l’obiettivo di riparare i danni economici e sociali causati dall’emergenza sanitaria da coronavirus e contribuire a gettare le basi per rendere le economie e le società dei Paesi Europei più sostenibili, resilienti e preparate alle sfide e alle opportunità della transizione ecologica e digitale: un investimento sul futuro dell’Europa e degli Stati membri per ripartire dopo l’emergenza Covid-19.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Lo strumento finanziario che la Commissione Europea ha identificato per finanziare il Piano è denominato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Next Generation EU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. Si tratta di un dispositivo temporaneo da 750 miliardi di euro pensato per spingere una “ripresa sostenibile, uniforme, inclusiva ed equa”.</w:t>
        <w:br/>
        <w:t xml:space="preserve">Lo Stato italiano ha adottato il proprio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Piano Nazionale di Ripresa e Resilienza (PNRR)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a seguito della decisione del Consiglio Europeo nel luglio del 2021 ed è stato recentemente riprogrammato a seguito della Decisione del Consiglio di dicembre 2023.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Il Piano Nazionale si articola in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7 Missioni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, ovvero aree tematiche principali su cui intervenire, individuate in piena coerenza con i 3 pilastri del Next Generation EU. Le Missioni si articolano in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Componenti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, aree di intervento che affrontano sfide specifiche, composte a loro volta da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Investimenti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Riforme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Digitalizzazione, innovazione, competitività e cultura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Rivoluzione verde e transizione ecologica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Infrastrutture per una mobilità sostenibile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Istruzione e Ricerca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Inclusione e Coesione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Salute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Re-power EU 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L’importo totale del PNRR, a favore dell’Italia, è di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194,4 miliardi di euro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, integrati dallo Stato con risorse aggiuntive pari a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30,6 miliardi di euro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 attraverso il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Fondo Nazionale Complementare (FNC)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.</w:t>
        <w:br/>
        <w:t>L'anno di conclusione dello strumento e, conseguentemente, di tutti i progetti da esso finanziati sarà il 2026.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Nella sottosezione  </w:t>
      </w:r>
      <w:hyperlink r:id="rId2">
        <w:r>
          <w:rPr>
            <w:rStyle w:val="Hyperlink"/>
            <w:rFonts w:cs="Times New Roman" w:ascii="Times New Roman" w:hAnsi="Times New Roman"/>
            <w:color w:val="auto"/>
          </w:rPr>
          <w:t>Bandi di gara Amministrazione Trasparente – Comune di Licata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è possibile consultare gli atti relativi alle singole procedure di gara realizzate con fondi PRRR per le quali il Comune di Licata opera in qualità di Stazione appaltante.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Nel quadro di tali finanziamenti, attraverso candidature a bandi e assegnazioni, il Comune di Licata ha ottenuto finanziamenti suddivisi per come di seguito riportati e secondo il Monitoraggio Interventi PNRR effettuato alla data del 30 giugno 2025 secondo le richieste istruttorie indicate dalla Corte dei Conti, Sezione di controllo per la Regione Siciliana.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it-IT"/>
        </w:rPr>
        <w:t xml:space="preserve">Il dettaglio di tutti i progetti finanziati : 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it-IT"/>
        </w:rPr>
        <w:t>https://comune.licata.ag.it/wp-admin/post.php?post=3345&amp;action=edit&amp;classic-editor</w:t>
      </w:r>
    </w:p>
    <w:p>
      <w:pPr>
        <w:pStyle w:val="Normal"/>
        <w:spacing w:lineRule="auto" w:line="240" w:before="0" w:afterAutospacing="1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4"/>
          <w:szCs w:val="24"/>
          <w:lang w:eastAsia="it-IT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72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2">
    <w:name w:val="heading 2"/>
    <w:basedOn w:val="Normal"/>
    <w:link w:val="Titolo2Carattere"/>
    <w:uiPriority w:val="9"/>
    <w:qFormat/>
    <w:rsid w:val="0011295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Titolo3Carattere"/>
    <w:uiPriority w:val="9"/>
    <w:qFormat/>
    <w:rsid w:val="0011295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qFormat/>
    <w:rsid w:val="0011295f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11295f"/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Strong">
    <w:name w:val="Strong"/>
    <w:basedOn w:val="DefaultParagraphFont"/>
    <w:uiPriority w:val="22"/>
    <w:qFormat/>
    <w:rsid w:val="001129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29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e8b"/>
    <w:rPr>
      <w:color w:themeColor="followedHyperlink"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1129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mune.licata.ag.it/novita/bandi-di-gara-amministrazione-trasparente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126BE-C8E1-49A7-A648-8E793EF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LibreOffice/25.8.2.2$Windows_X86_64 LibreOffice_project/d401f2107ccab8f924a8e2df40f573aab7605b6f</Application>
  <AppVersion>15.0000</AppVersion>
  <Pages>1</Pages>
  <Words>385</Words>
  <Characters>2241</Characters>
  <CharactersWithSpaces>2607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2025-09-25T14:40:00Z</dcterms:created>
  <dc:creator>loredana.pira</dc:creator>
  <dc:description/>
  <dc:language>it-IT</dc:language>
  <cp:lastModifiedBy/>
  <dcterms:modified xsi:type="dcterms:W3CDTF">2025-10-24T10:06:02Z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